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3" w:after="0"/>
        <w:ind w:left="200"/>
        <w:jc w:val="center"/>
        <w:rPr>
          <w:rFonts w:ascii="Calibri" w:hAnsi="Calibri" w:cs="Calibri" w:asciiTheme="minorHAnsi" w:cstheme="minorHAnsi" w:hAnsiTheme="minorHAnsi"/>
          <w:b/>
          <w:sz w:val="40"/>
          <w:szCs w:val="40"/>
          <w:lang w:val="en-GB"/>
        </w:rPr>
      </w:pPr>
      <w:r>
        <w:rPr>
          <w:rFonts w:cs="Calibri" w:ascii="Calibri" w:hAnsi="Calibri" w:asciiTheme="minorHAnsi" w:cstheme="minorHAnsi" w:hAnsiTheme="minorHAnsi"/>
          <w:b/>
          <w:sz w:val="40"/>
          <w:szCs w:val="40"/>
          <w:lang w:val="en-GB"/>
        </w:rPr>
        <w:t>Data Protection Act 2018 Policy</w:t>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BodyText"/>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Introduction</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sets out the obligations of </w:t>
      </w:r>
      <w:r>
        <w:rPr>
          <w:rFonts w:cs="Calibri" w:ascii="Calibri" w:hAnsi="Calibri" w:asciiTheme="minorHAnsi" w:cstheme="minorHAnsi" w:hAnsiTheme="minorHAnsi"/>
          <w:sz w:val="24"/>
          <w:szCs w:val="24"/>
          <w:highlight w:val="yellow"/>
        </w:rPr>
        <w:t>Untamed Marine Biology University</w:t>
      </w:r>
      <w:r>
        <w:rPr>
          <w:rFonts w:cs="Calibri" w:ascii="Calibri" w:hAnsi="Calibri" w:asciiTheme="minorHAnsi" w:cstheme="minorHAnsi" w:hAnsiTheme="minorHAnsi"/>
          <w:sz w:val="24"/>
          <w:szCs w:val="24"/>
        </w:rPr>
        <w:t xml:space="preserve">,(“the Company”) regarding data protection and the rights of customers and business contacts (“data subjects”) in respect of their personal data under Data Protection Act 2018 (Formally EU Regulation 2016/679 General Data Protection Regulation (“GDPR”)).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Data Protection Principles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aims to ensure compliance with the Data Protection Act 2018. The Data Protection Act 2018 sets out the following principles with which any party handling personal data must comply. All personal data must be:</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lawfully, fairly, and in a transparent manner in relation to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Adequate, relevant, and limited to what is necessary in relation to the purposes for which it is processed.</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Act 2018 in order to safeguard the rights and freedoms of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Rights of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sets out the following rights applicable to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be informed’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of access,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rectification,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erasure (also known as the ‘right to be forgotten’),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restrict processing,</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data portability,</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object; and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Rights with respect to automated decision-making and profiling.</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Lawful, Fair, and Transparent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seeks to ensure that personal data is processed lawfully, fairly, and transparently, without adversely affecting the rights of the data subject. The Data Protection Act 2018 states that processing of personal data shall be lawful if at least one of the following applies: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consent to the processing of their personal data for one or more specific purposes;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contract to which the data subject is a party, or in order to take steps at the request of the data subject prior to entering into a contract with them;</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compliance with a legal obligation to which the data controller is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task carried out in the public interest or in the exercise of official authority vested in the data controller; or</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the personal data in question is “special category data” (also known as “sensitive personal data”) (for example, data concerning the data subject’s health), at least one of the following conditions must be met: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their explicit consent to the processing of such data for one or more specified purposes (unless EU or EU Member State law prohibits them from doing so);</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 where the data subject is physically or legally incapable of giving consent;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relates to personal data which is clearly made public by the data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conduct of legal claims or whenever courts are acting in their judicial capacity;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Specified, Explicit, and Legitimate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collects and processes the personal data set out in this Policy.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includes:</w:t>
      </w:r>
    </w:p>
    <w:p>
      <w:pPr>
        <w:pStyle w:val="ListParagraph"/>
        <w:widowControl/>
        <w:numPr>
          <w:ilvl w:val="0"/>
          <w:numId w:val="4"/>
        </w:numPr>
        <w:spacing w:before="0" w:after="0"/>
        <w:contextualSpacing/>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 xml:space="preserve">Personal data collected directly from data subjects </w:t>
      </w:r>
      <w:r>
        <w:rPr>
          <w:rFonts w:cs="Calibri" w:ascii="Calibri" w:hAnsi="Calibri" w:asciiTheme="minorHAnsi" w:cstheme="minorHAnsi" w:hAnsiTheme="minorHAnsi"/>
          <w:b/>
          <w:bCs/>
          <w:sz w:val="24"/>
          <w:szCs w:val="24"/>
        </w:rPr>
        <w:t>OR</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obtained from third parties.</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only collects, processes, and holds personal data for the specific purposes set out in this Policy (or for other purposes expressly permitted by the Data Protection Act 2018).</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are kept informed at all times of the purpose or purposes for which the Company uses their personal data.</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Adequate, Relevant, and Limited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will only collect and process personal data for and to the extent necessary for the specific purpose or purposes of which data subjects have been informed (or will be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Accuracy of Data and Keeping Data Up-to-Date</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processed, and held by it is kept accurate and up-to-date. This includes, but is not limited to, the rectification of personal data at the request of a data subject.</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Retention</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not keep personal data for any longer than is necessary in light of the purpose or purposes for which that personal data was originally collected, held, and processed.</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personal data is no longer required, all reasonable steps will be taken to erase or otherwise dispose of it without delay.</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full details of the Company’s approach to data retention, including retention periods for specific personal data types held by the Company, please refer to our Data Retention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Secure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Accountability and Record-Keeping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Company’s Data Protection Officer is </w:t>
      </w:r>
      <w:r>
        <w:rPr>
          <w:rFonts w:cs="Calibri" w:ascii="Calibri" w:hAnsi="Calibri" w:asciiTheme="minorHAnsi" w:cstheme="minorHAnsi" w:hAnsiTheme="minorHAnsi"/>
          <w:sz w:val="24"/>
          <w:szCs w:val="24"/>
          <w:highlight w:val="yellow"/>
        </w:rPr>
        <w:t>Don E. Holmes III</w:t>
      </w:r>
      <w:r>
        <w:rPr>
          <w:rFonts w:cs="Calibri" w:ascii="Calibri" w:hAnsi="Calibri" w:asciiTheme="minorHAnsi" w:cstheme="minorHAnsi" w:hAnsiTheme="minorHAnsi"/>
          <w:sz w:val="24"/>
          <w:szCs w:val="24"/>
        </w:rPr>
        <w:t xml:space="preserve">,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r>
        <w:rPr>
          <w:rFonts w:cs="Calibri" w:ascii="Calibri" w:hAnsi="Calibri" w:asciiTheme="minorHAnsi" w:cstheme="minorHAnsi" w:hAnsiTheme="minorHAnsi"/>
          <w:sz w:val="24"/>
          <w:szCs w:val="24"/>
          <w:highlight w:val="yellow"/>
        </w:rPr>
        <w:t>support@umbuniversity.com</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r>
        <w:rPr>
          <w:rFonts w:cs="Calibri" w:ascii="Calibri" w:hAnsi="Calibri" w:asciiTheme="minorHAnsi" w:cstheme="minorHAnsi" w:hAnsiTheme="minorHAnsi"/>
          <w:sz w:val="24"/>
          <w:szCs w:val="24"/>
          <w:highlight w:val="yellow"/>
        </w:rPr>
        <w:t>661-800-3769</w:t>
      </w:r>
      <w:r>
        <w:rPr>
          <w:rFonts w:cs="Calibri" w:ascii="Calibri" w:hAnsi="Calibri" w:asciiTheme="minorHAnsi" w:cstheme="minorHAnsi" w:hAnsiTheme="minorHAnsi"/>
          <w:sz w:val="24"/>
          <w:szCs w:val="24"/>
        </w:rPr>
        <w: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Officer shall be responsible for overseeing the implementation of this Policy and for monitoring compliance with this Policy, the Company’s other data protection-related policies, and with the Data Protection Act 2018 and other applicable data protection legislation.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keep written internal records of all personal data collection, holding, and processing, which shall incorporate the following information: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details of the Company, its Data Protection Officer, and any applicable third-party data processors;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Company collects, holds, and processes personal data;</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categories of personal data collected, held, and processed by the Company, and the categories of data subject to which that personal data relates;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transfers of personal data to non-EEA countries including all mechanisms and security safeguards;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how long personal data will be retained by the Company; and</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Detailed descriptions of all technical and organisational measures taken by the Company to ensure the security of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Protection Impact Assessments</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carry out Data Protection Impact Assessments for any and all new projects and/or new uses of personal data.</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Protection Impact Assessments shall be overseen by the Data Protection Officer and shall address the following:</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type(s) of personal data that will be collected, held, and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Company’s objectives;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How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parties (internal and/or external) who are to be consulted;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necessity and proportionality of the data processing with respect to the</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purpose(s) for which it is being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to data subjects;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both within and to the Company; and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Proposed measures to minimize and handle identified risks.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Keeping Data Subjects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provide the information set out in section (i) below to every data subject: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if the personal data is used to communicate with the data subject, when the first communication is 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if the personal data is to be transferred to another party, before that transfer is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as soon as reasonably possible and in any event not more than one month after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personal data is obtained.</w:t>
      </w:r>
    </w:p>
    <w:p>
      <w:pPr>
        <w:pStyle w:val="ListParagraph"/>
        <w:widowControl/>
        <w:numPr>
          <w:ilvl w:val="0"/>
          <w:numId w:val="1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information shall be provided:</w:t>
      </w:r>
    </w:p>
    <w:p>
      <w:pPr>
        <w:pStyle w:val="ListParagraph"/>
        <w:ind w:left="144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Company including, but not limited to, the identity of its Data Protection Officer;</w:t>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personal data is being collected and will be processed (as detailed in this Policy) and the legal basis justifying that collection and processing;</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the legitimate interests upon which the Company is justifying its collection and processing of the personal data;</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not obtained directly from the data subject, the categories of personal data collected and processed;</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one or more third parties, details of those parties;</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a third party that is located outside of the European Economic Area (the “EEA”), details of that transfer, including but not limited to the safeguards in place,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data retention;</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rights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withdraw their consent to the Company’s processing of their personal data at any time;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complain to the Information Commissioner’s Office (the “supervisory authority”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details of any legal or contractual requirement or obligation necessitating the collection and processing of the personal data and details of any consequences of failing to provide it; and</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automated decision-making or profiling that will take place using the personal data, including information on how decisions will be made, the significance of those decisions, and any consequences.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Subject Access</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make subject access requests (“SARs”) at any time to find out more about the personal data which the Company holds about them, what it is doing with that personal data, and why.</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Data subjects wishing to make a SAR may do so in writing, using the Company’s Subject Access Request Form, or other written communication. SARs should be addressed to the Company’s Data Protection Officer at </w:t>
      </w:r>
      <w:r>
        <w:rPr>
          <w:rFonts w:cs="Calibri" w:ascii="Calibri" w:hAnsi="Calibri" w:asciiTheme="minorHAnsi" w:cstheme="minorHAnsi" w:hAnsiTheme="minorHAnsi"/>
          <w:sz w:val="24"/>
          <w:szCs w:val="24"/>
          <w:highlight w:val="yellow"/>
        </w:rPr>
        <w:t>Untamed Marine Biology University</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5501 Stockdale HWY #9442 Bakersfield, CA 93389</w:t>
      </w:r>
      <w:r>
        <w:rPr>
          <w:rFonts w:cs="Calibri" w:ascii="Calibri" w:hAnsi="Calibri" w:asciiTheme="minorHAnsi" w:cstheme="minorHAnsi" w:hAnsiTheme="minorHAnsi"/>
          <w:sz w:val="24"/>
          <w:szCs w:val="24"/>
        </w:rPr>
        <w:t xml:space="preserve"> Tel: </w:t>
      </w:r>
      <w:r>
        <w:rPr>
          <w:rFonts w:cs="Calibri" w:ascii="Calibri" w:hAnsi="Calibri" w:asciiTheme="minorHAnsi" w:cstheme="minorHAnsi" w:hAnsiTheme="minorHAnsi"/>
          <w:sz w:val="24"/>
          <w:szCs w:val="24"/>
        </w:rPr>
        <w:t>661-800-3769</w:t>
      </w:r>
      <w:r>
        <w:rPr>
          <w:rFonts w:cs="Calibri" w:ascii="Calibri" w:hAnsi="Calibri" w:asciiTheme="minorHAnsi" w:cstheme="minorHAnsi" w:hAnsiTheme="minorHAnsi"/>
          <w:sz w:val="24"/>
          <w:szCs w:val="24"/>
        </w:rPr>
        <w:t xml:space="preserve"> Email:</w:t>
      </w:r>
      <w:r>
        <w:rPr>
          <w:rFonts w:cs="Calibri" w:ascii="Calibri" w:hAnsi="Calibri" w:asciiTheme="minorHAnsi" w:cstheme="minorHAnsi" w:hAnsiTheme="minorHAnsi"/>
          <w:sz w:val="24"/>
          <w:szCs w:val="24"/>
          <w:highlight w:val="yellow"/>
        </w:rPr>
        <w:t>support@umbuniversity.com</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SARs received shall be handled by the Company’s Data Protection Officer.</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pPr>
        <w:pStyle w:val="ListParagraph"/>
        <w:widowControl/>
        <w:spacing w:before="0" w:after="0"/>
        <w:ind w:left="72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Rectification of Personal Data</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require the Company to rectify any of their personal data that is inaccurate or incomplete.</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any rectification that must be made to that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Erasure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request that the Company erases the personal data it holds about them in the following circumstances:</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It is no longer necessary for the Company to hold that personal data with respect to the purpose(s) for which it was originally collected or processed;</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The data subject wishes to withdraw their consent to the Company holding and processing their personal data;</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The data subject objects to the Company holding and processing their personal data (and there is no overriding legitimate interest to allow the Company to continue doing so),</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 The personal data has been processed unlawfully;</w:t>
      </w:r>
    </w:p>
    <w:p>
      <w:pPr>
        <w:pStyle w:val="Normal"/>
        <w:ind w:left="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 The personal data needs to be erased in order for the Company to comply with</w:t>
      </w:r>
    </w:p>
    <w:p>
      <w:pPr>
        <w:pStyle w:val="Normal"/>
        <w:ind w:left="720"/>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a particular legal obligation</w:t>
      </w:r>
      <w:r>
        <w:rPr>
          <w:rFonts w:cs="Calibri" w:ascii="Calibri" w:hAnsi="Calibri" w:asciiTheme="minorHAnsi" w:cstheme="minorHAnsi" w:hAnsiTheme="minorHAnsi"/>
          <w:b/>
          <w:bCs/>
          <w:sz w:val="24"/>
          <w:szCs w:val="24"/>
        </w:rPr>
        <w:t>.</w:t>
      </w:r>
    </w:p>
    <w:p>
      <w:pPr>
        <w:pStyle w:val="Normal"/>
        <w:ind w:left="720"/>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Restriction of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Objections to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direct marketing purposes, the Company shall cease such processing immediately.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scientific and/or historical research and statistics purposes, the data subject must, under the Data Protection Act 2018, “demonstrate grounds relating to his or her particular situation”. The Company is not required to comply if the research is necessary for the performance of a task carried out for reasons of public interest.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Personal Data Collected, Held, and Processed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personal data is collected, held, and processed by the Company:</w:t>
      </w:r>
    </w:p>
    <w:p>
      <w:pPr>
        <w:pStyle w:val="Normal"/>
        <w:rPr>
          <w:rFonts w:ascii="Calibri" w:hAnsi="Calibri" w:cs="Calibri" w:asciiTheme="minorHAnsi" w:cstheme="minorHAnsi" w:hAnsiTheme="minorHAnsi"/>
          <w:b/>
          <w:bCs/>
          <w:sz w:val="24"/>
          <w:szCs w:val="24"/>
          <w:highlight w:val="yellow"/>
        </w:rPr>
      </w:pPr>
      <w:r>
        <w:rPr>
          <w:rFonts w:cs="Calibri" w:ascii="Calibri" w:hAnsi="Calibri" w:asciiTheme="minorHAnsi" w:cstheme="minorHAnsi" w:hAnsiTheme="minorHAnsi"/>
          <w:b/>
          <w:bCs/>
          <w:sz w:val="24"/>
          <w:szCs w:val="24"/>
          <w:highlight w:val="yellow"/>
        </w:rPr>
        <w:t>Data Ref. Type of Data Purpose of Data Electronic and hard copy Learner records</w:t>
      </w:r>
    </w:p>
    <w:p>
      <w:pPr>
        <w:pStyle w:val="Normal"/>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highlight w:val="yellow"/>
        </w:rPr>
        <w:t>[Please check relevance for your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Transferring Personal Data and Communications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all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communications and other transfers involving personal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encrypted using Encryption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marked “confidential”;</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be transmitted over secure networks only; transmission over unsecured networks is not permitted in any circumstances;</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not be transmitted over a wireless network if there is a wired alternative that is reasonably practicable;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sent by facsimile transmission the recipient should be informed in advance of the transmission and should be waiting by the fax machine to receive the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transferred in hardcopy form it should be passed directly to the recipient or sent using Royal Mail Registered or 1st or 2nd Class Signed For post; and</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to be transferred physically, whether in hardcopy form or on removable electronic media shall be transferred in a suitable container marked “confidential”.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Storage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storage of personal data:</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electronic copies of personal data should be stored securely using passwords and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hardcopies of personal data, along with any electronic copies stored on physical, removable media should be stored securely in a locked box, drawer, cabinet, or similar;</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stored electronically should be backed up at least daily with backups stored onsite. All backups should be encrypted using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Data Protection Act 2018 (which may include demonstrating to the Company that all suitable technical and organisational measures have been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Disposal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any personal data is to be erased or otherwise disposed of for any reason (including where copies have been made and are no longer needed), it should be securely deleted and disposed of.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Use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use of</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transferred to any employees, agents, contractors, or other parties, whether such parties are working on behalf of the Company or not, without the authorisation of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must be handled with care at all times and should not be left unattended or on view to unauthorised employees, agents, sub-contractors, or other parties at any time;</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personal data is being viewed on a computer screen and the computer in question is to be left unattended for any period of time, the user must lock the computer and screen before leaving it; and</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personal data held by the Company is used for marketing purposes, it shall be the responsibility of </w:t>
      </w:r>
      <w:r>
        <w:rPr>
          <w:rFonts w:cs="Calibri" w:ascii="Calibri" w:hAnsi="Calibri" w:asciiTheme="minorHAnsi" w:cstheme="minorHAnsi" w:hAnsiTheme="minorHAnsi"/>
          <w:sz w:val="24"/>
          <w:szCs w:val="24"/>
        </w:rPr>
        <w:t>Don E. Holmes III</w:t>
      </w:r>
      <w:r>
        <w:rPr>
          <w:rFonts w:cs="Calibri" w:ascii="Calibri" w:hAnsi="Calibri" w:asciiTheme="minorHAnsi" w:cstheme="minorHAnsi" w:hAnsiTheme="minorHAnsi"/>
          <w:sz w:val="24"/>
          <w:szCs w:val="24"/>
        </w:rPr>
        <w:t xml:space="preserve"> to ensure that the appropriate consent is obtained and that no data subjects have opted out, whether directly or via a third-party service such as the TPS.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IT Security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IT and information security:</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software may be installed on any Company-owned computer or device without the prior approval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Organisational Measures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collection, holding, and processing of personal data:</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shall be made fully aware of both their individual responsibilities and the Company’s responsibilities under the Data Protection Act 2018 and under this Policy, and shall be provided with a copy of this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trained to do so;</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supervised;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Methods of collecting, holding, and processing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held by the Company shall be reviewed periodically, as set out in the Company’s Data Retention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of those employees, agents, contractors, or other parties working on behalf of the Company handling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bound to do so in accordance with the principles of the Data Protection Act 2018 and this Policy by contract;</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Data Protection Act 2018; and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Transferring Personal Data to a Country Outside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may from time to time transfer (‘transfer’ includes making available remotely) personal data to countries outside of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of personal data to a country outside of the EEA shall take place only if one or more of the following applies: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Data Protection Act 2018); contractual clauses agreed and authorised by the competent supervisory authority; or provisions inserted into administrative arrangements between public authorities or bodies authorised by the competent supervisory authority;</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with the informed consent of the relevant data subject(s);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performance of a contract between the data subject and the Company (or for pre-contractual steps taken at the request of the data subject);</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important public interest reasons;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conduct of legal claims;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to protect the vital interests of the data subject or other individuals where the data subject is physically or legally unable to give their consent; or</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Breach Notification</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breaches must be reported immediately to the Company’s Data Protection Officer.</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breach notifications shall include the following information:</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data subjects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personal data records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contact details of the Company’s data protection officer (or other contact point where more information can be obtained);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likely consequences of the breach;</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measures taken, or proposed to be taken, by the Company to address the breach including, where appropriate, measures to mitigate its possible adverse effects.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Name: </w:t>
      </w:r>
      <w:r>
        <w:rPr>
          <w:rFonts w:cs="Calibri" w:ascii="Calibri" w:hAnsi="Calibri" w:asciiTheme="minorHAnsi" w:cstheme="minorHAnsi" w:hAnsiTheme="minorHAnsi"/>
          <w:b/>
          <w:bCs/>
          <w:sz w:val="24"/>
          <w:szCs w:val="24"/>
          <w:highlight w:val="yellow"/>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Position: </w:t>
      </w:r>
      <w:r>
        <w:rPr>
          <w:rFonts w:cs="Calibri" w:ascii="Calibri" w:hAnsi="Calibri" w:asciiTheme="minorHAnsi" w:cstheme="minorHAnsi" w:hAnsiTheme="minorHAnsi"/>
          <w:b/>
          <w:bCs/>
          <w:sz w:val="24"/>
          <w:szCs w:val="24"/>
          <w:highlight w:val="yellow"/>
        </w:rPr>
        <w:t>Owner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Date: </w:t>
      </w:r>
      <w:r>
        <w:rPr>
          <w:rFonts w:cs="Calibri" w:ascii="Calibri" w:hAnsi="Calibri" w:asciiTheme="minorHAnsi" w:cstheme="minorHAnsi" w:hAnsiTheme="minorHAnsi"/>
          <w:b/>
          <w:bCs/>
          <w:sz w:val="24"/>
          <w:szCs w:val="24"/>
        </w:rPr>
        <w:t>0</w:t>
      </w:r>
      <w:r>
        <w:rPr>
          <w:rFonts w:cs="Calibri" w:ascii="Calibri" w:hAnsi="Calibri" w:asciiTheme="minorHAnsi" w:cstheme="minorHAnsi" w:hAnsiTheme="minorHAnsi"/>
          <w:b/>
          <w:bCs/>
          <w:sz w:val="24"/>
          <w:szCs w:val="24"/>
          <w:highlight w:val="yellow"/>
        </w:rPr>
        <w:t>8/03/2024</w:t>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 xml:space="preserve">Signature: </w:t>
      </w:r>
      <w:r>
        <w:rPr>
          <w:rFonts w:cs="Calibri" w:ascii="Calibri" w:hAnsi="Calibri" w:asciiTheme="minorHAnsi" w:cstheme="minorHAnsi" w:hAnsiTheme="minorHAnsi"/>
          <w:b/>
          <w:bCs/>
          <w:sz w:val="24"/>
          <w:szCs w:val="24"/>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Review of Policy: </w:t>
      </w:r>
      <w:r>
        <w:rPr>
          <w:rFonts w:cs="Calibri" w:ascii="Calibri" w:hAnsi="Calibri" w:asciiTheme="minorHAnsi" w:cstheme="minorHAnsi" w:hAnsiTheme="minorHAnsi"/>
          <w:b/>
          <w:bCs/>
          <w:sz w:val="24"/>
          <w:szCs w:val="24"/>
        </w:rPr>
        <w:t>Y</w:t>
      </w:r>
      <w:r>
        <w:rPr>
          <w:rFonts w:cs="Calibri" w:ascii="Calibri" w:hAnsi="Calibri" w:asciiTheme="minorHAnsi" w:cstheme="minorHAnsi" w:hAnsiTheme="minorHAnsi"/>
          <w:b/>
          <w:bCs/>
          <w:sz w:val="24"/>
          <w:szCs w:val="24"/>
          <w:highlight w:val="yellow"/>
        </w:rPr>
        <w:t>es</w:t>
      </w:r>
    </w:p>
    <w:p>
      <w:pPr>
        <w:pStyle w:val="BodyText"/>
        <w:spacing w:before="93" w:after="0"/>
        <w:ind w:left="200" w:right="125"/>
        <w:jc w:val="both"/>
        <w:rPr>
          <w:rFonts w:ascii="Calibri" w:hAnsi="Calibri" w:cs="Calibri" w:asciiTheme="minorHAnsi" w:cstheme="minorHAnsi" w:hAnsiTheme="minorHAnsi"/>
          <w:sz w:val="24"/>
          <w:szCs w:val="24"/>
          <w:lang w:val="en-GB"/>
        </w:rPr>
      </w:pPr>
      <w:r>
        <w:rPr>
          <w:rFonts w:cs="Calibri" w:cstheme="minorHAnsi" w:ascii="Calibri" w:hAnsi="Calibri"/>
          <w:sz w:val="24"/>
          <w:szCs w:val="24"/>
          <w:lang w:val="en-GB"/>
        </w:rPr>
      </w:r>
    </w:p>
    <w:sectPr>
      <w:type w:val="nextPage"/>
      <w:pgSz w:w="11906" w:h="16838"/>
      <w:pgMar w:left="1240" w:right="132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qFormat/>
    <w:rsid w:val="006833e5"/>
    <w:pPr>
      <w:keepNext w:val="true"/>
      <w:widowControl/>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val="true"/>
      <w:keepLines/>
      <w:widowControl/>
      <w:spacing w:before="200" w:after="0"/>
      <w:outlineLvl w:val="1"/>
    </w:pPr>
    <w:rPr>
      <w:rFonts w:ascii="Cambria" w:hAnsi="Cambria" w:eastAsia="" w:cs="" w:asciiTheme="majorHAnsi" w:cstheme="majorBidi" w:eastAsiaTheme="majorEastAsia" w:hAnsiTheme="majorHAnsi"/>
      <w:b/>
      <w:bCs/>
      <w:color w:themeColor="accent1" w:val="4F81BD"/>
      <w:sz w:val="26"/>
      <w:szCs w:val="26"/>
      <w:lang w:val="en-GB"/>
    </w:rPr>
  </w:style>
  <w:style w:type="paragraph" w:styleId="Heading3">
    <w:name w:val="Heading 3"/>
    <w:basedOn w:val="Normal"/>
    <w:next w:val="Normal"/>
    <w:link w:val="Heading3Char"/>
    <w:semiHidden/>
    <w:unhideWhenUsed/>
    <w:qFormat/>
    <w:rsid w:val="006833e5"/>
    <w:pPr>
      <w:keepNext w:val="true"/>
      <w:keepLines/>
      <w:widowControl/>
      <w:spacing w:before="40" w:after="0"/>
      <w:outlineLvl w:val="2"/>
    </w:pPr>
    <w:rPr>
      <w:rFonts w:ascii="Cambria" w:hAnsi="Cambria" w:eastAsia="" w:cs="" w:asciiTheme="majorHAnsi" w:cstheme="majorBidi" w:eastAsiaTheme="majorEastAsia" w:hAnsiTheme="majorHAnsi"/>
      <w:color w:themeColor="accent1" w:themeShade="7f" w:val="243F60"/>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33e5"/>
    <w:rPr>
      <w:rFonts w:ascii="Arial" w:hAnsi="Arial" w:eastAsia="Times New Roman" w:cs="Times New Roman"/>
      <w:b/>
      <w:bCs/>
      <w:sz w:val="28"/>
      <w:szCs w:val="24"/>
      <w:lang w:val="en-GB"/>
    </w:rPr>
  </w:style>
  <w:style w:type="character" w:styleId="Heading2Char" w:customStyle="1">
    <w:name w:val="Heading 2 Char"/>
    <w:basedOn w:val="DefaultParagraphFont"/>
    <w:link w:val="Heading2"/>
    <w:semiHidden/>
    <w:qFormat/>
    <w:rsid w:val="006833e5"/>
    <w:rPr>
      <w:rFonts w:ascii="Cambria" w:hAnsi="Cambria" w:eastAsia="" w:cs="" w:asciiTheme="majorHAnsi" w:cstheme="majorBidi" w:eastAsiaTheme="majorEastAsia" w:hAnsiTheme="majorHAnsi"/>
      <w:b/>
      <w:bCs/>
      <w:color w:themeColor="accent1" w:val="4F81BD"/>
      <w:sz w:val="26"/>
      <w:szCs w:val="26"/>
      <w:lang w:val="en-GB"/>
    </w:rPr>
  </w:style>
  <w:style w:type="character" w:styleId="Heading3Char" w:customStyle="1">
    <w:name w:val="Heading 3 Char"/>
    <w:basedOn w:val="DefaultParagraphFont"/>
    <w:link w:val="Heading3"/>
    <w:semiHidden/>
    <w:qFormat/>
    <w:rsid w:val="006833e5"/>
    <w:rPr>
      <w:rFonts w:ascii="Cambria" w:hAnsi="Cambria" w:eastAsia="" w:cs="" w:asciiTheme="majorHAnsi" w:cstheme="majorBidi" w:eastAsiaTheme="majorEastAsia" w:hAnsiTheme="majorHAnsi"/>
      <w:color w:themeColor="accent1" w:themeShade="7f" w:val="243F60"/>
      <w:sz w:val="24"/>
      <w:szCs w:val="24"/>
      <w:lang w:val="en-GB"/>
    </w:rPr>
  </w:style>
  <w:style w:type="character" w:styleId="ListParagraphChar" w:customStyle="1">
    <w:name w:val="List Paragraph Char"/>
    <w:basedOn w:val="DefaultParagraphFont"/>
    <w:link w:val="ListParagraph"/>
    <w:uiPriority w:val="34"/>
    <w:qFormat/>
    <w:rsid w:val="006833e5"/>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ListParagraphChar"/>
    <w:uiPriority w:val="34"/>
    <w:qFormat/>
    <w:pPr>
      <w:spacing w:before="13" w:after="0"/>
      <w:ind w:left="728"/>
    </w:pPr>
    <w:rPr/>
  </w:style>
  <w:style w:type="paragraph" w:styleId="TableParagraph" w:customStyle="1">
    <w:name w:val="Table Paragraph"/>
    <w:basedOn w:val="Normal"/>
    <w:uiPriority w:val="1"/>
    <w:qFormat/>
    <w:pPr>
      <w:ind w:left="20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LibreOffice/24.2.3.2$Windows_X86_64 LibreOffice_project/433d9c2ded56988e8a90e6b2e771ee4e6a5ab2ba</Application>
  <AppVersion>15.0000</AppVersion>
  <Pages>10</Pages>
  <Words>4822</Words>
  <Characters>25097</Characters>
  <CharactersWithSpaces>29589</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2022-12-05T12:15:00Z</dcterms:created>
  <dc:creator>Sue Mottershead</dc:creator>
  <dc:description/>
  <dc:language>en-US</dc:language>
  <cp:lastModifiedBy/>
  <dcterms:modified xsi:type="dcterms:W3CDTF">2024-08-03T00:41:39Z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